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9A" w:rsidRPr="00C90294" w:rsidRDefault="00AD0B9A" w:rsidP="00AD0B9A">
      <w:pPr>
        <w:spacing w:line="276" w:lineRule="auto"/>
        <w:rPr>
          <w:rFonts w:ascii="Calibri" w:hAnsi="Calibri"/>
          <w:b/>
          <w:sz w:val="22"/>
          <w:szCs w:val="22"/>
        </w:rPr>
      </w:pPr>
      <w:r w:rsidRPr="00C90294">
        <w:rPr>
          <w:rFonts w:ascii="Calibri" w:hAnsi="Calibri" w:cs="Times New Roman"/>
          <w:b/>
          <w:noProof/>
          <w:sz w:val="22"/>
          <w:szCs w:val="22"/>
        </w:rPr>
        <mc:AlternateContent>
          <mc:Choice Requires="wps">
            <w:drawing>
              <wp:anchor distT="0" distB="0" distL="114300" distR="114300" simplePos="0" relativeHeight="251659264" behindDoc="0" locked="0" layoutInCell="1" allowOverlap="1" wp14:anchorId="29CE7F7C" wp14:editId="71FD928F">
                <wp:simplePos x="0" y="0"/>
                <wp:positionH relativeFrom="column">
                  <wp:posOffset>3310255</wp:posOffset>
                </wp:positionH>
                <wp:positionV relativeFrom="paragraph">
                  <wp:posOffset>226695</wp:posOffset>
                </wp:positionV>
                <wp:extent cx="2514600" cy="2152650"/>
                <wp:effectExtent l="0" t="0" r="19050" b="19050"/>
                <wp:wrapSquare wrapText="bothSides"/>
                <wp:docPr id="2" name="Tekstvak 2"/>
                <wp:cNvGraphicFramePr/>
                <a:graphic xmlns:a="http://schemas.openxmlformats.org/drawingml/2006/main">
                  <a:graphicData uri="http://schemas.microsoft.com/office/word/2010/wordprocessingShape">
                    <wps:wsp>
                      <wps:cNvSpPr txBox="1"/>
                      <wps:spPr>
                        <a:xfrm>
                          <a:off x="0" y="0"/>
                          <a:ext cx="2514600" cy="2152650"/>
                        </a:xfrm>
                        <a:prstGeom prst="rect">
                          <a:avLst/>
                        </a:prstGeom>
                        <a:noFill/>
                        <a:ln>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D0B9A" w:rsidRPr="00A44F24" w:rsidRDefault="00AD0B9A" w:rsidP="00AD0B9A">
                            <w:pPr>
                              <w:rPr>
                                <w:rFonts w:ascii="Calibri" w:hAnsi="Calibri"/>
                                <w:b/>
                                <w:sz w:val="20"/>
                                <w:szCs w:val="20"/>
                                <w:u w:val="single"/>
                              </w:rPr>
                            </w:pPr>
                            <w:r w:rsidRPr="00A44F24">
                              <w:rPr>
                                <w:rFonts w:ascii="Calibri" w:hAnsi="Calibri"/>
                                <w:b/>
                                <w:sz w:val="20"/>
                                <w:szCs w:val="20"/>
                                <w:u w:val="single"/>
                              </w:rPr>
                              <w:t>Werkboeken ERH:</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Werken aan hersteldoelen</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Psychische klachten</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Steun-Stress-Kracht-Kwetsbaarheid-model</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Sociale steun</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Bewust omgaan met medicatie</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Omgaan met verslaving</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Rekening houden met kwetsbaarheid</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Omgaan met stress</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Omgaan met psychische klachten en dagelijkse problemen</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Ondersteuning vanuit de overheid en GGZ</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Gezond leven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E7F7C" id="_x0000_t202" coordsize="21600,21600" o:spt="202" path="m,l,21600r21600,l21600,xe">
                <v:stroke joinstyle="miter"/>
                <v:path gradientshapeok="t" o:connecttype="rect"/>
              </v:shapetype>
              <v:shape id="Tekstvak 2" o:spid="_x0000_s1026" type="#_x0000_t202" style="position:absolute;margin-left:260.65pt;margin-top:17.85pt;width:198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" filled="f" strokecolor="black [3213]">
                <v:textbox>
                  <w:txbxContent>
                    <w:p w:rsidR="00AD0B9A" w:rsidRPr="00A44F24" w:rsidRDefault="00AD0B9A" w:rsidP="00AD0B9A">
                      <w:pPr>
                        <w:rPr>
                          <w:rFonts w:ascii="Calibri" w:hAnsi="Calibri"/>
                          <w:b/>
                          <w:sz w:val="20"/>
                          <w:szCs w:val="20"/>
                          <w:u w:val="single"/>
                        </w:rPr>
                      </w:pPr>
                      <w:r w:rsidRPr="00A44F24">
                        <w:rPr>
                          <w:rFonts w:ascii="Calibri" w:hAnsi="Calibri"/>
                          <w:b/>
                          <w:sz w:val="20"/>
                          <w:szCs w:val="20"/>
                          <w:u w:val="single"/>
                        </w:rPr>
                        <w:t>Werkboeken ERH:</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Werken aan hersteldoelen</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Psychische klachten</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Steun-Stress-Kracht-Kwetsbaarheid-model</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Sociale steun</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Bewust omgaan met medicatie</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Omgaan met verslaving</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Rekening houden met kwetsbaarheid</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Omgaan met stress</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Omgaan met psychische klachten en dagelijkse problemen</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Ondersteuning vanuit de overheid en GGZ</w:t>
                      </w:r>
                    </w:p>
                    <w:p w:rsidR="00AD0B9A" w:rsidRPr="00A44F24" w:rsidRDefault="00AD0B9A" w:rsidP="00AD0B9A">
                      <w:pPr>
                        <w:pStyle w:val="ListParagraph"/>
                        <w:numPr>
                          <w:ilvl w:val="0"/>
                          <w:numId w:val="5"/>
                        </w:numPr>
                        <w:rPr>
                          <w:rFonts w:ascii="Calibri" w:hAnsi="Calibri"/>
                          <w:sz w:val="20"/>
                          <w:szCs w:val="20"/>
                        </w:rPr>
                      </w:pPr>
                      <w:r w:rsidRPr="00A44F24">
                        <w:rPr>
                          <w:rFonts w:ascii="Calibri" w:hAnsi="Calibri"/>
                          <w:sz w:val="20"/>
                          <w:szCs w:val="20"/>
                        </w:rPr>
                        <w:t>Gezond leven</w:t>
                      </w:r>
                    </w:p>
                  </w:txbxContent>
                </v:textbox>
                <w10:wrap type="square"/>
              </v:shape>
            </w:pict>
          </mc:Fallback>
        </mc:AlternateContent>
      </w:r>
      <w:r w:rsidRPr="00C90294">
        <w:rPr>
          <w:rFonts w:ascii="Calibri" w:hAnsi="Calibri"/>
          <w:b/>
          <w:sz w:val="22"/>
          <w:szCs w:val="22"/>
        </w:rPr>
        <w:t>De Eigen Regie</w:t>
      </w:r>
      <w:bookmarkStart w:id="0" w:name="_GoBack"/>
      <w:bookmarkEnd w:id="0"/>
      <w:r w:rsidRPr="00C90294">
        <w:rPr>
          <w:rFonts w:ascii="Calibri" w:hAnsi="Calibri"/>
          <w:b/>
          <w:sz w:val="22"/>
          <w:szCs w:val="22"/>
        </w:rPr>
        <w:t xml:space="preserve"> en Herstel training (ERH)</w:t>
      </w:r>
    </w:p>
    <w:p w:rsidR="00AD0B9A" w:rsidRDefault="00AD0B9A" w:rsidP="00AD0B9A">
      <w:pPr>
        <w:spacing w:line="276" w:lineRule="auto"/>
        <w:rPr>
          <w:rFonts w:ascii="Calibri" w:hAnsi="Calibri"/>
          <w:sz w:val="22"/>
          <w:szCs w:val="22"/>
        </w:rPr>
      </w:pPr>
      <w:r w:rsidRPr="00C90294">
        <w:rPr>
          <w:rFonts w:ascii="Calibri" w:hAnsi="Calibri"/>
          <w:sz w:val="22"/>
          <w:szCs w:val="22"/>
        </w:rPr>
        <w:t xml:space="preserve">In een </w:t>
      </w:r>
      <w:r w:rsidRPr="00C90294">
        <w:rPr>
          <w:rFonts w:ascii="Calibri" w:hAnsi="Calibri" w:cs="Times New Roman"/>
          <w:sz w:val="22"/>
          <w:szCs w:val="22"/>
        </w:rPr>
        <w:t xml:space="preserve">structuur van elf opeenvolgende ERH werkboeken (zie tabel) </w:t>
      </w:r>
      <w:r w:rsidRPr="00C90294">
        <w:rPr>
          <w:rFonts w:ascii="Calibri" w:hAnsi="Calibri"/>
          <w:sz w:val="22"/>
          <w:szCs w:val="22"/>
        </w:rPr>
        <w:t xml:space="preserve">werken mensen met een psychische aandoening toe naar het verwezenlijken van zelfgekozen persoonlijke hersteldoelen en werken deelnemers aan het leren herkennen van signalen en het inzetten van </w:t>
      </w:r>
      <w:proofErr w:type="spellStart"/>
      <w:r w:rsidRPr="00C90294">
        <w:rPr>
          <w:rFonts w:ascii="Calibri" w:hAnsi="Calibri"/>
          <w:sz w:val="22"/>
          <w:szCs w:val="22"/>
        </w:rPr>
        <w:t>copingsvaardigheden</w:t>
      </w:r>
      <w:proofErr w:type="spellEnd"/>
      <w:r w:rsidRPr="00C90294">
        <w:rPr>
          <w:rFonts w:ascii="Calibri" w:hAnsi="Calibri"/>
          <w:sz w:val="22"/>
          <w:szCs w:val="22"/>
        </w:rPr>
        <w:t xml:space="preserve">. De ERH training wil deelnemers stimuleren om zelf weloverwogen keuzes te maken over hun behandeling. Tegelijkertijd wil de ERH de kansen op herstel vergroten, en dus bijdragen aan verbinding, hoop, identiteit, zingeving en empowerment. </w:t>
      </w:r>
      <w:r w:rsidRPr="00C90294">
        <w:rPr>
          <w:rFonts w:ascii="Calibri" w:hAnsi="Calibri" w:cs="Times New Roman"/>
          <w:sz w:val="22"/>
          <w:szCs w:val="22"/>
        </w:rPr>
        <w:t xml:space="preserve">De ERH-training moedigt de eigengereidheid en eigen wijsheid aan en geeft mensen ideeën en mogelijke strategieën bij het streven naar een zinvol bestaan en het bereiken van eigen doelen. </w:t>
      </w:r>
      <w:r w:rsidRPr="00C90294">
        <w:rPr>
          <w:rFonts w:ascii="Calibri" w:hAnsi="Calibri"/>
          <w:sz w:val="22"/>
          <w:szCs w:val="22"/>
        </w:rPr>
        <w:t xml:space="preserve">De ERH is een bewerkingen van de </w:t>
      </w:r>
      <w:proofErr w:type="spellStart"/>
      <w:r w:rsidRPr="00C90294">
        <w:rPr>
          <w:rFonts w:ascii="Calibri" w:hAnsi="Calibri"/>
          <w:sz w:val="22"/>
          <w:szCs w:val="22"/>
        </w:rPr>
        <w:t>Illness</w:t>
      </w:r>
      <w:proofErr w:type="spellEnd"/>
      <w:r w:rsidRPr="00C90294">
        <w:rPr>
          <w:rFonts w:ascii="Calibri" w:hAnsi="Calibri"/>
          <w:sz w:val="22"/>
          <w:szCs w:val="22"/>
        </w:rPr>
        <w:t xml:space="preserve"> Management </w:t>
      </w:r>
      <w:proofErr w:type="spellStart"/>
      <w:r w:rsidRPr="00C90294">
        <w:rPr>
          <w:rFonts w:ascii="Calibri" w:hAnsi="Calibri"/>
          <w:sz w:val="22"/>
          <w:szCs w:val="22"/>
        </w:rPr>
        <w:t>and</w:t>
      </w:r>
      <w:proofErr w:type="spellEnd"/>
      <w:r w:rsidRPr="00C90294">
        <w:rPr>
          <w:rFonts w:ascii="Calibri" w:hAnsi="Calibri"/>
          <w:sz w:val="22"/>
          <w:szCs w:val="22"/>
        </w:rPr>
        <w:t xml:space="preserve"> Recovery </w:t>
      </w:r>
      <w:proofErr w:type="spellStart"/>
      <w:r w:rsidRPr="00C90294">
        <w:rPr>
          <w:rFonts w:ascii="Calibri" w:hAnsi="Calibri"/>
          <w:sz w:val="22"/>
          <w:szCs w:val="22"/>
        </w:rPr>
        <w:t>programme</w:t>
      </w:r>
      <w:proofErr w:type="spellEnd"/>
      <w:r w:rsidRPr="00C90294">
        <w:rPr>
          <w:rFonts w:ascii="Calibri" w:hAnsi="Calibri"/>
          <w:sz w:val="22"/>
          <w:szCs w:val="22"/>
        </w:rPr>
        <w:t xml:space="preserve"> </w:t>
      </w:r>
      <w:r w:rsidRPr="00C90294">
        <w:rPr>
          <w:rFonts w:ascii="Calibri" w:hAnsi="Calibri"/>
          <w:sz w:val="22"/>
          <w:szCs w:val="22"/>
        </w:rPr>
        <w:fldChar w:fldCharType="begin" w:fldLock="1"/>
      </w:r>
      <w:r w:rsidRPr="00C90294">
        <w:rPr>
          <w:rFonts w:ascii="Calibri" w:hAnsi="Calibri"/>
          <w:sz w:val="22"/>
          <w:szCs w:val="22"/>
        </w:rPr>
        <w:instrText>ADDIN CSL_CITATION {"citationItems":[{"id":"ITEM-1","itemData":{"abstract":"Beentjes, T.A.A. Brugman, M.J.","author":[{"dropping-particle":"","family":"Trimbos","given":"","non-dropping-particle":"","parse-names":false,"suffix":""}],"id":"ITEM-1","issued":{"date-parts":[["2015"]]},"number-of-pages":"34","title":"Illness Managment and Recovery 3.0 Interventiebeschrijving","type":"report"},"uris":["http://www.mendeley.com/documents/?uuid=4b9c373e-6577-426d-8554-09b2abf0bf07"]}],"mendeley":{"formattedCitation":"[1]","plainTextFormattedCitation":"[1]","previouslyFormattedCitation":"[1]"},"properties":{"noteIndex":0},"schema":"https://github.com/citation-style-language/schema/raw/master/csl-citation.json"}</w:instrText>
      </w:r>
      <w:r w:rsidRPr="00C90294">
        <w:rPr>
          <w:rFonts w:ascii="Calibri" w:hAnsi="Calibri"/>
          <w:sz w:val="22"/>
          <w:szCs w:val="22"/>
        </w:rPr>
        <w:fldChar w:fldCharType="separate"/>
      </w:r>
      <w:r w:rsidRPr="00C90294">
        <w:rPr>
          <w:rFonts w:ascii="Calibri" w:hAnsi="Calibri"/>
          <w:noProof/>
          <w:sz w:val="22"/>
          <w:szCs w:val="22"/>
        </w:rPr>
        <w:t>[1]</w:t>
      </w:r>
      <w:r w:rsidRPr="00C90294">
        <w:rPr>
          <w:rFonts w:ascii="Calibri" w:hAnsi="Calibri"/>
          <w:sz w:val="22"/>
          <w:szCs w:val="22"/>
        </w:rPr>
        <w:fldChar w:fldCharType="end"/>
      </w:r>
      <w:r w:rsidRPr="00C90294">
        <w:rPr>
          <w:rFonts w:ascii="Calibri" w:hAnsi="Calibri"/>
          <w:sz w:val="22"/>
          <w:szCs w:val="22"/>
        </w:rPr>
        <w:t>.</w:t>
      </w:r>
      <w:r>
        <w:rPr>
          <w:rFonts w:ascii="Calibri" w:hAnsi="Calibri"/>
          <w:sz w:val="22"/>
          <w:szCs w:val="22"/>
        </w:rPr>
        <w:t xml:space="preserve"> </w:t>
      </w:r>
      <w:r w:rsidRPr="00C90294">
        <w:rPr>
          <w:rFonts w:ascii="Calibri" w:hAnsi="Calibri"/>
          <w:sz w:val="22"/>
          <w:szCs w:val="22"/>
        </w:rPr>
        <w:t xml:space="preserve">De ERH training wordt gegeven door een combinatie van een verpleegkundige (HBOV, SPV of </w:t>
      </w:r>
      <w:proofErr w:type="spellStart"/>
      <w:r w:rsidRPr="00C90294">
        <w:rPr>
          <w:rFonts w:ascii="Calibri" w:hAnsi="Calibri"/>
          <w:sz w:val="22"/>
          <w:szCs w:val="22"/>
        </w:rPr>
        <w:t>VSGGz</w:t>
      </w:r>
      <w:proofErr w:type="spellEnd"/>
      <w:r w:rsidRPr="00C90294">
        <w:rPr>
          <w:rFonts w:ascii="Calibri" w:hAnsi="Calibri"/>
          <w:sz w:val="22"/>
          <w:szCs w:val="22"/>
        </w:rPr>
        <w:t xml:space="preserve">) en een ervaringsdeskundige </w:t>
      </w:r>
      <w:r w:rsidRPr="00C90294">
        <w:rPr>
          <w:rFonts w:ascii="Calibri" w:hAnsi="Calibri"/>
          <w:sz w:val="22"/>
          <w:szCs w:val="22"/>
        </w:rPr>
        <w:fldChar w:fldCharType="begin" w:fldLock="1"/>
      </w:r>
      <w:r w:rsidRPr="00C90294">
        <w:rPr>
          <w:rFonts w:ascii="Calibri" w:hAnsi="Calibri"/>
          <w:sz w:val="22"/>
          <w:szCs w:val="22"/>
        </w:rPr>
        <w:instrText>ADDIN CSL_CITATION {"citationItems":[{"id":"ITEM-1","itemData":{"author":[{"dropping-particle":"","family":"Neut","given":"Niek","non-dropping-particle":"van der","parse-names":false,"suffix":""},{"dropping-particle":"","family":"Brugman","given":"Marijke","non-dropping-particle":"","parse-names":false,"suffix":""},{"dropping-particle":"","family":"Bergsma","given":"Ad","non-dropping-particle":"","parse-names":false,"suffix":""},{"dropping-particle":"","family":"Beentjes","given":"Titus","non-dropping-particle":"","parse-names":false,"suffix":""}],"container-title":"Participatie en Herstel","id":"ITEM-1","issue":"3","issued":{"date-parts":[["2017"]]},"page":"33-41","title":"“Ik denk dat een combinatie beter is”, Een kwalitatieve studie naar de samenwerking van IMR trainers mét en zonder ervaringsdeskundigheid","type":"article-journal","volume":"26"},"uris":["http://www.mendeley.com/documents/?uuid=bfdc3dc6-3d0c-451e-9728-8a385598636a"]}],"mendeley":{"formattedCitation":"[2]","plainTextFormattedCitation":"[2]","previouslyFormattedCitation":"[2]"},"properties":{"noteIndex":0},"schema":"https://github.com/citation-style-language/schema/raw/master/csl-citation.json"}</w:instrText>
      </w:r>
      <w:r w:rsidRPr="00C90294">
        <w:rPr>
          <w:rFonts w:ascii="Calibri" w:hAnsi="Calibri"/>
          <w:sz w:val="22"/>
          <w:szCs w:val="22"/>
        </w:rPr>
        <w:fldChar w:fldCharType="separate"/>
      </w:r>
      <w:r w:rsidRPr="00C90294">
        <w:rPr>
          <w:rFonts w:ascii="Calibri" w:hAnsi="Calibri"/>
          <w:noProof/>
          <w:sz w:val="22"/>
          <w:szCs w:val="22"/>
        </w:rPr>
        <w:t>[2]</w:t>
      </w:r>
      <w:r w:rsidRPr="00C90294">
        <w:rPr>
          <w:rFonts w:ascii="Calibri" w:hAnsi="Calibri"/>
          <w:sz w:val="22"/>
          <w:szCs w:val="22"/>
        </w:rPr>
        <w:fldChar w:fldCharType="end"/>
      </w:r>
      <w:r w:rsidRPr="00C90294">
        <w:rPr>
          <w:rFonts w:ascii="Calibri" w:hAnsi="Calibri"/>
          <w:sz w:val="22"/>
          <w:szCs w:val="22"/>
        </w:rPr>
        <w:t>.</w:t>
      </w:r>
    </w:p>
    <w:p w:rsidR="00AD0B9A" w:rsidRPr="00C90294" w:rsidRDefault="00AD0B9A" w:rsidP="00AD0B9A">
      <w:pPr>
        <w:widowControl w:val="0"/>
        <w:autoSpaceDE w:val="0"/>
        <w:autoSpaceDN w:val="0"/>
        <w:adjustRightInd w:val="0"/>
        <w:ind w:left="640" w:hanging="640"/>
        <w:rPr>
          <w:rFonts w:ascii="Calibri" w:hAnsi="Calibri"/>
          <w:noProof/>
          <w:sz w:val="22"/>
          <w:szCs w:val="22"/>
          <w:lang w:val="en-US"/>
        </w:rPr>
      </w:pPr>
      <w:r w:rsidRPr="00C90294">
        <w:rPr>
          <w:rFonts w:ascii="Calibri" w:hAnsi="Calibri" w:cs="Times New Roman"/>
          <w:b/>
          <w:sz w:val="22"/>
          <w:szCs w:val="22"/>
        </w:rPr>
        <w:fldChar w:fldCharType="begin" w:fldLock="1"/>
      </w:r>
      <w:r w:rsidRPr="00C90294">
        <w:rPr>
          <w:rFonts w:ascii="Calibri" w:hAnsi="Calibri" w:cs="Times New Roman"/>
          <w:b/>
          <w:sz w:val="22"/>
          <w:szCs w:val="22"/>
          <w:lang w:val="en-US"/>
        </w:rPr>
        <w:instrText xml:space="preserve">ADDIN Mendeley Bibliography CSL_BIBLIOGRAPHY </w:instrText>
      </w:r>
      <w:r w:rsidRPr="00C90294">
        <w:rPr>
          <w:rFonts w:ascii="Calibri" w:hAnsi="Calibri" w:cs="Times New Roman"/>
          <w:b/>
          <w:sz w:val="22"/>
          <w:szCs w:val="22"/>
        </w:rPr>
        <w:fldChar w:fldCharType="separate"/>
      </w:r>
      <w:r w:rsidRPr="00C90294">
        <w:rPr>
          <w:rFonts w:ascii="Calibri" w:hAnsi="Calibri"/>
          <w:noProof/>
          <w:sz w:val="22"/>
          <w:szCs w:val="22"/>
          <w:lang w:val="en-US"/>
        </w:rPr>
        <w:t xml:space="preserve">1. </w:t>
      </w:r>
      <w:r w:rsidRPr="00C90294">
        <w:rPr>
          <w:rFonts w:ascii="Calibri" w:hAnsi="Calibri"/>
          <w:noProof/>
          <w:sz w:val="22"/>
          <w:szCs w:val="22"/>
          <w:lang w:val="en-US"/>
        </w:rPr>
        <w:tab/>
        <w:t xml:space="preserve">Trimbos. (2015). </w:t>
      </w:r>
      <w:r w:rsidRPr="00C90294">
        <w:rPr>
          <w:rFonts w:ascii="Calibri" w:hAnsi="Calibri"/>
          <w:i/>
          <w:iCs/>
          <w:noProof/>
          <w:sz w:val="22"/>
          <w:szCs w:val="22"/>
          <w:lang w:val="en-US"/>
        </w:rPr>
        <w:t>Illness Managment and Recovery 3.0 Interventiebeschrijving</w:t>
      </w:r>
      <w:r w:rsidRPr="00C90294">
        <w:rPr>
          <w:rFonts w:ascii="Calibri" w:hAnsi="Calibri"/>
          <w:noProof/>
          <w:sz w:val="22"/>
          <w:szCs w:val="22"/>
          <w:lang w:val="en-US"/>
        </w:rPr>
        <w:t>.  https://erkendeinterventiesggz.trimbos.nl/erkende-interventies/illness-management-and-recovery</w:t>
      </w:r>
    </w:p>
    <w:p w:rsidR="00AD0B9A" w:rsidRPr="00C90294" w:rsidRDefault="00AD0B9A" w:rsidP="00AD0B9A">
      <w:pPr>
        <w:widowControl w:val="0"/>
        <w:autoSpaceDE w:val="0"/>
        <w:autoSpaceDN w:val="0"/>
        <w:adjustRightInd w:val="0"/>
        <w:ind w:left="640" w:hanging="640"/>
        <w:rPr>
          <w:rFonts w:ascii="Calibri" w:hAnsi="Calibri"/>
          <w:noProof/>
          <w:sz w:val="22"/>
          <w:szCs w:val="22"/>
        </w:rPr>
      </w:pPr>
      <w:r w:rsidRPr="00C90294">
        <w:rPr>
          <w:rFonts w:ascii="Calibri" w:hAnsi="Calibri"/>
          <w:noProof/>
          <w:sz w:val="22"/>
          <w:szCs w:val="22"/>
          <w:lang w:val="en-US"/>
        </w:rPr>
        <w:t xml:space="preserve">2. </w:t>
      </w:r>
      <w:r w:rsidRPr="00C90294">
        <w:rPr>
          <w:rFonts w:ascii="Calibri" w:hAnsi="Calibri"/>
          <w:noProof/>
          <w:sz w:val="22"/>
          <w:szCs w:val="22"/>
          <w:lang w:val="en-US"/>
        </w:rPr>
        <w:tab/>
      </w:r>
      <w:r w:rsidRPr="00C90294">
        <w:rPr>
          <w:rFonts w:ascii="Calibri" w:hAnsi="Calibri"/>
          <w:noProof/>
          <w:sz w:val="22"/>
          <w:szCs w:val="22"/>
        </w:rPr>
        <w:t xml:space="preserve">van der Neut, N., Brugman, M., Bergsma, A., &amp; Beentjes, T. (2017). “Ik denk dat een combinatie beter is”, Een kwalitatieve studie naar de samenwerking van IMR trainers mét en zonder ervaringsdeskundigheid. </w:t>
      </w:r>
      <w:r w:rsidRPr="00C90294">
        <w:rPr>
          <w:rFonts w:ascii="Calibri" w:hAnsi="Calibri"/>
          <w:i/>
          <w:iCs/>
          <w:noProof/>
          <w:sz w:val="22"/>
          <w:szCs w:val="22"/>
        </w:rPr>
        <w:t>Participatie en Herstel</w:t>
      </w:r>
      <w:r w:rsidRPr="00C90294">
        <w:rPr>
          <w:rFonts w:ascii="Calibri" w:hAnsi="Calibri"/>
          <w:noProof/>
          <w:sz w:val="22"/>
          <w:szCs w:val="22"/>
        </w:rPr>
        <w:t xml:space="preserve">, </w:t>
      </w:r>
      <w:r w:rsidRPr="00C90294">
        <w:rPr>
          <w:rFonts w:ascii="Calibri" w:hAnsi="Calibri"/>
          <w:i/>
          <w:iCs/>
          <w:noProof/>
          <w:sz w:val="22"/>
          <w:szCs w:val="22"/>
        </w:rPr>
        <w:t>26</w:t>
      </w:r>
      <w:r w:rsidRPr="00C90294">
        <w:rPr>
          <w:rFonts w:ascii="Calibri" w:hAnsi="Calibri"/>
          <w:noProof/>
          <w:sz w:val="22"/>
          <w:szCs w:val="22"/>
        </w:rPr>
        <w:t>(3), 33–41.</w:t>
      </w:r>
    </w:p>
    <w:p w:rsidR="00AD0B9A" w:rsidRDefault="00AD0B9A" w:rsidP="007A56F9">
      <w:pPr>
        <w:spacing w:before="0" w:after="0"/>
        <w:rPr>
          <w:rFonts w:asciiTheme="minorHAnsi" w:hAnsiTheme="minorHAnsi"/>
          <w:b/>
          <w:sz w:val="22"/>
          <w:szCs w:val="22"/>
        </w:rPr>
      </w:pPr>
      <w:r w:rsidRPr="00C90294">
        <w:rPr>
          <w:rFonts w:ascii="Calibri" w:hAnsi="Calibri" w:cs="Times New Roman"/>
          <w:b/>
          <w:sz w:val="22"/>
          <w:szCs w:val="22"/>
        </w:rPr>
        <w:fldChar w:fldCharType="end"/>
      </w:r>
    </w:p>
    <w:p w:rsidR="00AD0B9A" w:rsidRDefault="00AD0B9A" w:rsidP="007A56F9">
      <w:pPr>
        <w:spacing w:before="0" w:after="0"/>
        <w:rPr>
          <w:rFonts w:asciiTheme="minorHAnsi" w:hAnsiTheme="minorHAnsi"/>
          <w:b/>
          <w:sz w:val="22"/>
          <w:szCs w:val="22"/>
        </w:rPr>
      </w:pPr>
    </w:p>
    <w:p w:rsidR="00AD0B9A" w:rsidRDefault="00AD0B9A" w:rsidP="007A56F9">
      <w:pPr>
        <w:spacing w:before="0" w:after="0"/>
        <w:rPr>
          <w:rFonts w:asciiTheme="minorHAnsi" w:hAnsiTheme="minorHAnsi"/>
          <w:b/>
          <w:sz w:val="22"/>
          <w:szCs w:val="22"/>
        </w:rPr>
      </w:pPr>
    </w:p>
    <w:p w:rsidR="007A56F9" w:rsidRPr="007A56F9" w:rsidRDefault="007A56F9" w:rsidP="007A56F9">
      <w:pPr>
        <w:spacing w:before="0" w:after="0"/>
        <w:rPr>
          <w:rFonts w:asciiTheme="minorHAnsi" w:hAnsiTheme="minorHAnsi"/>
          <w:b/>
          <w:sz w:val="22"/>
          <w:szCs w:val="22"/>
        </w:rPr>
      </w:pPr>
      <w:r w:rsidRPr="007A56F9">
        <w:rPr>
          <w:rFonts w:asciiTheme="minorHAnsi" w:hAnsiTheme="minorHAnsi"/>
          <w:b/>
          <w:sz w:val="22"/>
          <w:szCs w:val="22"/>
        </w:rPr>
        <w:t>Leerdoelen van de cursus ERH-trainer</w:t>
      </w:r>
    </w:p>
    <w:p w:rsidR="007A56F9" w:rsidRPr="007A56F9" w:rsidRDefault="007A56F9" w:rsidP="007A56F9">
      <w:pPr>
        <w:spacing w:before="0" w:after="0"/>
        <w:rPr>
          <w:rFonts w:asciiTheme="minorHAnsi" w:hAnsiTheme="minorHAnsi"/>
          <w:b/>
          <w:sz w:val="22"/>
          <w:szCs w:val="22"/>
        </w:rPr>
      </w:pPr>
    </w:p>
    <w:p w:rsidR="007A56F9" w:rsidRPr="007A56F9" w:rsidRDefault="007A56F9" w:rsidP="007A56F9">
      <w:pPr>
        <w:spacing w:before="0" w:after="0"/>
        <w:rPr>
          <w:rFonts w:asciiTheme="minorHAnsi" w:hAnsiTheme="minorHAnsi"/>
          <w:sz w:val="22"/>
          <w:szCs w:val="22"/>
        </w:rPr>
      </w:pPr>
      <w:r w:rsidRPr="007A56F9">
        <w:rPr>
          <w:rFonts w:asciiTheme="minorHAnsi" w:hAnsiTheme="minorHAnsi"/>
          <w:sz w:val="22"/>
          <w:szCs w:val="22"/>
        </w:rPr>
        <w:t>Na het volgen van bijeenkomsten 1 heb je:</w:t>
      </w:r>
    </w:p>
    <w:p w:rsidR="007A56F9" w:rsidRPr="007A56F9" w:rsidRDefault="007A56F9" w:rsidP="007A56F9">
      <w:pPr>
        <w:pStyle w:val="ListParagraph"/>
        <w:numPr>
          <w:ilvl w:val="0"/>
          <w:numId w:val="1"/>
        </w:numPr>
        <w:spacing w:after="0"/>
        <w:rPr>
          <w:rFonts w:eastAsia="Times New Roman"/>
        </w:rPr>
      </w:pPr>
      <w:r w:rsidRPr="007A56F9">
        <w:rPr>
          <w:rFonts w:eastAsia="Times New Roman"/>
        </w:rPr>
        <w:t>kennis over fasen van herstel, kenmerken Herstel-Ondersteunende Zorg (HOZ);</w:t>
      </w:r>
    </w:p>
    <w:p w:rsidR="007A56F9" w:rsidRPr="007A56F9" w:rsidRDefault="007A56F9" w:rsidP="007A56F9">
      <w:pPr>
        <w:pStyle w:val="ListParagraph"/>
        <w:numPr>
          <w:ilvl w:val="0"/>
          <w:numId w:val="1"/>
        </w:numPr>
        <w:spacing w:after="0"/>
        <w:rPr>
          <w:rFonts w:eastAsia="Times New Roman"/>
        </w:rPr>
      </w:pPr>
      <w:r w:rsidRPr="007A56F9">
        <w:rPr>
          <w:rFonts w:eastAsia="Times New Roman"/>
        </w:rPr>
        <w:t>inzicht in het verschil tussen herstel en HOZ en kun je dit uitleggen;</w:t>
      </w:r>
    </w:p>
    <w:p w:rsidR="007A56F9" w:rsidRPr="007A56F9" w:rsidRDefault="007A56F9" w:rsidP="007A56F9">
      <w:pPr>
        <w:pStyle w:val="ListParagraph"/>
        <w:numPr>
          <w:ilvl w:val="0"/>
          <w:numId w:val="1"/>
        </w:numPr>
        <w:spacing w:after="0"/>
        <w:rPr>
          <w:rFonts w:eastAsia="Times New Roman"/>
        </w:rPr>
      </w:pPr>
      <w:r w:rsidRPr="007A56F9">
        <w:rPr>
          <w:rFonts w:eastAsia="Times New Roman"/>
        </w:rPr>
        <w:t>kennis over de herkomst van de ERH werkboeken;</w:t>
      </w:r>
    </w:p>
    <w:p w:rsidR="007A56F9" w:rsidRPr="007A56F9" w:rsidRDefault="007A56F9" w:rsidP="007A56F9">
      <w:pPr>
        <w:pStyle w:val="ListParagraph"/>
        <w:numPr>
          <w:ilvl w:val="0"/>
          <w:numId w:val="1"/>
        </w:numPr>
        <w:spacing w:after="0"/>
        <w:rPr>
          <w:rFonts w:eastAsia="Times New Roman"/>
        </w:rPr>
      </w:pPr>
      <w:r w:rsidRPr="007A56F9">
        <w:rPr>
          <w:rFonts w:eastAsia="Times New Roman"/>
        </w:rPr>
        <w:t>kennis over de opbouw van een ERH sessie;</w:t>
      </w:r>
    </w:p>
    <w:p w:rsidR="007A56F9" w:rsidRPr="007A56F9" w:rsidRDefault="007A56F9" w:rsidP="007A56F9">
      <w:pPr>
        <w:pStyle w:val="ListParagraph"/>
        <w:numPr>
          <w:ilvl w:val="0"/>
          <w:numId w:val="1"/>
        </w:numPr>
        <w:spacing w:after="0"/>
        <w:rPr>
          <w:rFonts w:eastAsia="Times New Roman"/>
        </w:rPr>
      </w:pPr>
      <w:r w:rsidRPr="007A56F9">
        <w:rPr>
          <w:rFonts w:eastAsia="Times New Roman"/>
        </w:rPr>
        <w:t>bijgedragen aan het uitvoeren van een ERH sessie.</w:t>
      </w:r>
    </w:p>
    <w:p w:rsidR="007A56F9" w:rsidRPr="007A56F9" w:rsidRDefault="007A56F9" w:rsidP="007A56F9">
      <w:pPr>
        <w:spacing w:before="0" w:after="0"/>
        <w:rPr>
          <w:rFonts w:asciiTheme="minorHAnsi" w:hAnsiTheme="minorHAnsi"/>
          <w:sz w:val="22"/>
          <w:szCs w:val="22"/>
        </w:rPr>
      </w:pPr>
      <w:r w:rsidRPr="007A56F9">
        <w:rPr>
          <w:rFonts w:asciiTheme="minorHAnsi" w:hAnsiTheme="minorHAnsi"/>
          <w:sz w:val="22"/>
          <w:szCs w:val="22"/>
        </w:rPr>
        <w:t>Na het volgen van bijeenkomsten 2 heb je:</w:t>
      </w:r>
    </w:p>
    <w:p w:rsidR="007A56F9" w:rsidRPr="007A56F9" w:rsidRDefault="007A56F9" w:rsidP="007A56F9">
      <w:pPr>
        <w:pStyle w:val="ListParagraph"/>
        <w:numPr>
          <w:ilvl w:val="0"/>
          <w:numId w:val="2"/>
        </w:numPr>
        <w:spacing w:after="0"/>
        <w:rPr>
          <w:rFonts w:eastAsia="Times New Roman"/>
        </w:rPr>
      </w:pPr>
      <w:r w:rsidRPr="007A56F9">
        <w:rPr>
          <w:rFonts w:eastAsia="Times New Roman"/>
        </w:rPr>
        <w:t>kennis over wat motiverende gespreksvoering is;</w:t>
      </w:r>
    </w:p>
    <w:p w:rsidR="007A56F9" w:rsidRPr="007A56F9" w:rsidRDefault="007A56F9" w:rsidP="007A56F9">
      <w:pPr>
        <w:pStyle w:val="ListParagraph"/>
        <w:numPr>
          <w:ilvl w:val="0"/>
          <w:numId w:val="2"/>
        </w:numPr>
        <w:spacing w:after="0"/>
        <w:rPr>
          <w:rFonts w:eastAsia="Times New Roman"/>
        </w:rPr>
      </w:pPr>
      <w:r w:rsidRPr="007A56F9">
        <w:rPr>
          <w:rFonts w:eastAsia="Times New Roman"/>
        </w:rPr>
        <w:t>inzicht in je eigen sterke en zwakke vaardigheden bij het inzetten van motiverende gespreksvoering;</w:t>
      </w:r>
    </w:p>
    <w:p w:rsidR="007A56F9" w:rsidRPr="007A56F9" w:rsidRDefault="007A56F9" w:rsidP="007A56F9">
      <w:pPr>
        <w:pStyle w:val="ListParagraph"/>
        <w:numPr>
          <w:ilvl w:val="0"/>
          <w:numId w:val="2"/>
        </w:numPr>
        <w:spacing w:after="0"/>
        <w:rPr>
          <w:rFonts w:eastAsia="Times New Roman"/>
        </w:rPr>
      </w:pPr>
      <w:r w:rsidRPr="007A56F9">
        <w:rPr>
          <w:rFonts w:eastAsia="Times New Roman"/>
        </w:rPr>
        <w:t>geoefend met het inzetten van motiverende gespreksvoering tijdens de ERH sessies.</w:t>
      </w:r>
    </w:p>
    <w:p w:rsidR="007A56F9" w:rsidRPr="007A56F9" w:rsidRDefault="007A56F9" w:rsidP="007A56F9">
      <w:pPr>
        <w:spacing w:before="0" w:after="0"/>
        <w:rPr>
          <w:rFonts w:asciiTheme="minorHAnsi" w:hAnsiTheme="minorHAnsi"/>
          <w:sz w:val="22"/>
          <w:szCs w:val="22"/>
        </w:rPr>
      </w:pPr>
      <w:r w:rsidRPr="007A56F9">
        <w:rPr>
          <w:rFonts w:asciiTheme="minorHAnsi" w:hAnsiTheme="minorHAnsi"/>
          <w:sz w:val="22"/>
          <w:szCs w:val="22"/>
        </w:rPr>
        <w:t>Na het volgen bijeenkomsten 3 heb je:</w:t>
      </w:r>
    </w:p>
    <w:p w:rsidR="007A56F9" w:rsidRPr="007A56F9" w:rsidRDefault="007A56F9" w:rsidP="007A56F9">
      <w:pPr>
        <w:pStyle w:val="ListParagraph"/>
        <w:numPr>
          <w:ilvl w:val="0"/>
          <w:numId w:val="3"/>
        </w:numPr>
        <w:spacing w:after="0"/>
        <w:rPr>
          <w:rFonts w:eastAsia="Times New Roman"/>
        </w:rPr>
      </w:pPr>
      <w:r w:rsidRPr="007A56F9">
        <w:rPr>
          <w:rFonts w:eastAsia="Times New Roman"/>
        </w:rPr>
        <w:t>kennis over Cognitieve gedragstherapie;</w:t>
      </w:r>
    </w:p>
    <w:p w:rsidR="007A56F9" w:rsidRPr="007A56F9" w:rsidRDefault="007A56F9" w:rsidP="007A56F9">
      <w:pPr>
        <w:pStyle w:val="ListParagraph"/>
        <w:numPr>
          <w:ilvl w:val="0"/>
          <w:numId w:val="3"/>
        </w:numPr>
        <w:spacing w:after="0"/>
        <w:rPr>
          <w:rFonts w:eastAsia="Times New Roman"/>
        </w:rPr>
      </w:pPr>
      <w:r w:rsidRPr="007A56F9">
        <w:rPr>
          <w:rFonts w:eastAsia="Times New Roman"/>
        </w:rPr>
        <w:t>kennis over de 5 G's en weet je deze te onderscheiden;</w:t>
      </w:r>
    </w:p>
    <w:p w:rsidR="007A56F9" w:rsidRPr="007A56F9" w:rsidRDefault="007A56F9" w:rsidP="007A56F9">
      <w:pPr>
        <w:pStyle w:val="ListParagraph"/>
        <w:numPr>
          <w:ilvl w:val="0"/>
          <w:numId w:val="3"/>
        </w:numPr>
        <w:spacing w:after="0"/>
        <w:rPr>
          <w:rFonts w:eastAsia="Times New Roman"/>
        </w:rPr>
      </w:pPr>
      <w:r w:rsidRPr="007A56F9">
        <w:rPr>
          <w:rFonts w:eastAsia="Times New Roman"/>
        </w:rPr>
        <w:t>kennis over positieve bekrachtiging;</w:t>
      </w:r>
    </w:p>
    <w:p w:rsidR="007A56F9" w:rsidRPr="007A56F9" w:rsidRDefault="007A56F9" w:rsidP="007A56F9">
      <w:pPr>
        <w:pStyle w:val="ListParagraph"/>
        <w:numPr>
          <w:ilvl w:val="0"/>
          <w:numId w:val="3"/>
        </w:numPr>
        <w:spacing w:after="0"/>
        <w:rPr>
          <w:rFonts w:eastAsia="Times New Roman"/>
        </w:rPr>
      </w:pPr>
      <w:r w:rsidRPr="007A56F9">
        <w:rPr>
          <w:rFonts w:eastAsia="Times New Roman"/>
        </w:rPr>
        <w:t>geoefend met modelleren en rollenspellen;</w:t>
      </w:r>
    </w:p>
    <w:p w:rsidR="007A56F9" w:rsidRPr="007A56F9" w:rsidRDefault="007A56F9" w:rsidP="007A56F9">
      <w:pPr>
        <w:pStyle w:val="ListParagraph"/>
        <w:numPr>
          <w:ilvl w:val="0"/>
          <w:numId w:val="3"/>
        </w:numPr>
        <w:spacing w:after="0"/>
        <w:rPr>
          <w:rFonts w:eastAsia="Times New Roman"/>
        </w:rPr>
      </w:pPr>
      <w:r w:rsidRPr="007A56F9">
        <w:rPr>
          <w:rFonts w:eastAsia="Times New Roman"/>
        </w:rPr>
        <w:t>geoefend met het geven van een ERH sessie.</w:t>
      </w:r>
    </w:p>
    <w:p w:rsidR="007A56F9" w:rsidRPr="007A56F9" w:rsidRDefault="007A56F9" w:rsidP="007A56F9">
      <w:pPr>
        <w:spacing w:before="0" w:after="0"/>
        <w:rPr>
          <w:rFonts w:asciiTheme="minorHAnsi" w:hAnsiTheme="minorHAnsi"/>
          <w:sz w:val="22"/>
          <w:szCs w:val="22"/>
        </w:rPr>
      </w:pPr>
      <w:r w:rsidRPr="007A56F9">
        <w:rPr>
          <w:rFonts w:asciiTheme="minorHAnsi" w:hAnsiTheme="minorHAnsi"/>
          <w:sz w:val="22"/>
          <w:szCs w:val="22"/>
        </w:rPr>
        <w:t>Na het volgen van bijeenkomsten 4 heb je:</w:t>
      </w:r>
    </w:p>
    <w:p w:rsidR="007A56F9" w:rsidRPr="007A56F9" w:rsidRDefault="007A56F9" w:rsidP="007A56F9">
      <w:pPr>
        <w:pStyle w:val="ListParagraph"/>
        <w:numPr>
          <w:ilvl w:val="0"/>
          <w:numId w:val="4"/>
        </w:numPr>
        <w:spacing w:after="0"/>
        <w:rPr>
          <w:rFonts w:eastAsia="Times New Roman"/>
        </w:rPr>
      </w:pPr>
      <w:r w:rsidRPr="007A56F9">
        <w:rPr>
          <w:rFonts w:eastAsia="Times New Roman"/>
        </w:rPr>
        <w:t>zicht op educatietechnieken bij ERH werkboeken;</w:t>
      </w:r>
    </w:p>
    <w:p w:rsidR="007A56F9" w:rsidRPr="007A56F9" w:rsidRDefault="007A56F9" w:rsidP="007A56F9">
      <w:pPr>
        <w:pStyle w:val="ListParagraph"/>
        <w:numPr>
          <w:ilvl w:val="0"/>
          <w:numId w:val="4"/>
        </w:numPr>
        <w:spacing w:after="0"/>
        <w:rPr>
          <w:rFonts w:eastAsia="Times New Roman"/>
        </w:rPr>
      </w:pPr>
      <w:r w:rsidRPr="007A56F9">
        <w:rPr>
          <w:rFonts w:eastAsia="Times New Roman"/>
        </w:rPr>
        <w:t>kennis over groepsdynamica;</w:t>
      </w:r>
    </w:p>
    <w:p w:rsidR="007A56F9" w:rsidRPr="007A56F9" w:rsidRDefault="007A56F9" w:rsidP="007A56F9">
      <w:pPr>
        <w:pStyle w:val="ListParagraph"/>
        <w:numPr>
          <w:ilvl w:val="0"/>
          <w:numId w:val="4"/>
        </w:numPr>
        <w:spacing w:after="0"/>
        <w:rPr>
          <w:rFonts w:eastAsia="Times New Roman"/>
        </w:rPr>
      </w:pPr>
      <w:r w:rsidRPr="007A56F9">
        <w:rPr>
          <w:rFonts w:eastAsia="Times New Roman"/>
        </w:rPr>
        <w:t>je toets gepresenteerd.</w:t>
      </w:r>
    </w:p>
    <w:p w:rsidR="007A56F9" w:rsidRPr="007A56F9" w:rsidRDefault="007A56F9" w:rsidP="007A56F9">
      <w:pPr>
        <w:spacing w:before="0" w:after="0"/>
        <w:rPr>
          <w:rFonts w:asciiTheme="minorHAnsi" w:hAnsiTheme="minorHAnsi"/>
          <w:sz w:val="22"/>
          <w:szCs w:val="22"/>
        </w:rPr>
      </w:pPr>
    </w:p>
    <w:p w:rsidR="00D60CD9" w:rsidRPr="007A56F9" w:rsidRDefault="00D60CD9">
      <w:pPr>
        <w:rPr>
          <w:rFonts w:asciiTheme="minorHAnsi" w:hAnsiTheme="minorHAnsi"/>
          <w:sz w:val="22"/>
          <w:szCs w:val="22"/>
        </w:rPr>
      </w:pPr>
    </w:p>
    <w:sectPr w:rsidR="00D60CD9" w:rsidRPr="007A56F9" w:rsidSect="00D71C9B">
      <w:pgSz w:w="11900" w:h="16840"/>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654AE"/>
    <w:multiLevelType w:val="hybridMultilevel"/>
    <w:tmpl w:val="CDA6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03AB5"/>
    <w:multiLevelType w:val="hybridMultilevel"/>
    <w:tmpl w:val="C05C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578A0"/>
    <w:multiLevelType w:val="hybridMultilevel"/>
    <w:tmpl w:val="E62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E5042"/>
    <w:multiLevelType w:val="hybridMultilevel"/>
    <w:tmpl w:val="62A0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F4143"/>
    <w:multiLevelType w:val="hybridMultilevel"/>
    <w:tmpl w:val="DFC08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F9"/>
    <w:rsid w:val="007A56F9"/>
    <w:rsid w:val="00A44F24"/>
    <w:rsid w:val="00AD0B9A"/>
    <w:rsid w:val="00D60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CA5F7-0248-446B-BEB1-7C809AED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F9"/>
    <w:pPr>
      <w:spacing w:before="120" w:after="120" w:line="240" w:lineRule="auto"/>
    </w:pPr>
    <w:rPr>
      <w:rFonts w:ascii="Book Antiqua" w:eastAsiaTheme="minorEastAsia" w:hAnsi="Book Antiqua"/>
      <w:sz w:val="18"/>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F9"/>
    <w:pPr>
      <w:spacing w:before="0" w:after="200" w:line="276" w:lineRule="auto"/>
      <w:ind w:left="720"/>
      <w:contextualSpacing/>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Oosterloo</dc:creator>
  <cp:keywords/>
  <dc:description/>
  <cp:lastModifiedBy>B. Oosterloo</cp:lastModifiedBy>
  <cp:revision>3</cp:revision>
  <dcterms:created xsi:type="dcterms:W3CDTF">2021-04-28T09:32:00Z</dcterms:created>
  <dcterms:modified xsi:type="dcterms:W3CDTF">2021-04-28T10:16:00Z</dcterms:modified>
</cp:coreProperties>
</file>